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附件2</w:t>
      </w:r>
    </w:p>
    <w:p>
      <w:pPr>
        <w:spacing w:line="360" w:lineRule="auto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西北大学数学建模竞赛规则与竞赛纪律</w:t>
      </w:r>
    </w:p>
    <w:p>
      <w:pPr>
        <w:spacing w:line="640" w:lineRule="exact"/>
        <w:ind w:firstLine="480"/>
        <w:rPr>
          <w:sz w:val="24"/>
        </w:rPr>
      </w:pPr>
      <w:r>
        <w:rPr>
          <w:rFonts w:hint="eastAsia"/>
          <w:sz w:val="24"/>
        </w:rPr>
        <w:t>数学建模竞赛的公正性是竞赛健康发展的重要保证，因此要求各参赛院系、参赛队必须严格遵守以下竞赛规则与竞赛纪律：</w:t>
      </w:r>
    </w:p>
    <w:p>
      <w:pPr>
        <w:spacing w:line="640" w:lineRule="exact"/>
        <w:ind w:firstLine="480"/>
        <w:rPr>
          <w:sz w:val="24"/>
        </w:rPr>
      </w:pPr>
      <w:r>
        <w:rPr>
          <w:rFonts w:hint="eastAsia"/>
          <w:sz w:val="24"/>
        </w:rPr>
        <w:t>1. 参赛队员应是具有正式学籍的在校硕士或博士研究生；</w:t>
      </w:r>
    </w:p>
    <w:p>
      <w:pPr>
        <w:spacing w:line="640" w:lineRule="exact"/>
        <w:ind w:firstLine="480"/>
        <w:rPr>
          <w:sz w:val="24"/>
        </w:rPr>
      </w:pPr>
      <w:r>
        <w:rPr>
          <w:rFonts w:hint="eastAsia"/>
          <w:sz w:val="24"/>
        </w:rPr>
        <w:t>2. 参赛队不设指导教师；</w:t>
      </w:r>
    </w:p>
    <w:p>
      <w:pPr>
        <w:spacing w:line="640" w:lineRule="exact"/>
        <w:ind w:firstLine="480"/>
        <w:rPr>
          <w:sz w:val="24"/>
        </w:rPr>
      </w:pPr>
      <w:r>
        <w:rPr>
          <w:rFonts w:hint="eastAsia"/>
          <w:sz w:val="24"/>
        </w:rPr>
        <w:t>3. 队员在竞赛期间，可以查阅各种图书资料、使用微机设备（包括上网）及所需软件，但不得与队外任何人讨论；</w:t>
      </w:r>
    </w:p>
    <w:p>
      <w:pPr>
        <w:spacing w:line="640" w:lineRule="exact"/>
        <w:ind w:firstLine="480"/>
        <w:rPr>
          <w:sz w:val="24"/>
        </w:rPr>
      </w:pPr>
      <w:r>
        <w:rPr>
          <w:rFonts w:hint="eastAsia"/>
          <w:sz w:val="24"/>
        </w:rPr>
        <w:t>4. 参赛队必须按时在规定的网站下载赛题，并按规定时间准时交卷；</w:t>
      </w:r>
    </w:p>
    <w:p>
      <w:pPr>
        <w:spacing w:line="640" w:lineRule="exact"/>
        <w:ind w:firstLine="480"/>
        <w:rPr>
          <w:sz w:val="24"/>
        </w:rPr>
      </w:pPr>
      <w:r>
        <w:rPr>
          <w:rFonts w:hint="eastAsia"/>
          <w:sz w:val="24"/>
        </w:rPr>
        <w:t>5. 答卷要求：</w:t>
      </w:r>
    </w:p>
    <w:p>
      <w:pPr>
        <w:spacing w:line="640" w:lineRule="exact"/>
        <w:ind w:left="1199" w:leftChars="228" w:hanging="720" w:hangingChars="300"/>
        <w:rPr>
          <w:sz w:val="24"/>
        </w:rPr>
      </w:pPr>
      <w:r>
        <w:rPr>
          <w:rFonts w:hint="eastAsia"/>
          <w:sz w:val="24"/>
        </w:rPr>
        <w:t xml:space="preserve">  （1）答卷必须严格按照规定格式（参见“西北大学数学建模竞赛论文格式规范”）打印特别注意：第一页是承诺书及参赛队信息：院系名、参赛队号、队员姓名（队长排在第一位）。其他页任何地方不得出现院系名、参赛队号、队员姓名及其他记号，否则答卷无效。第二页参赛队不填任何信息。</w:t>
      </w:r>
    </w:p>
    <w:p>
      <w:pPr>
        <w:spacing w:line="640" w:lineRule="exact"/>
        <w:ind w:left="1199" w:leftChars="228" w:hanging="720" w:hangingChars="300"/>
        <w:rPr>
          <w:sz w:val="24"/>
        </w:rPr>
      </w:pPr>
      <w:r>
        <w:rPr>
          <w:rFonts w:hint="eastAsia"/>
          <w:sz w:val="24"/>
        </w:rPr>
        <w:t>（2）应交的材料：首先，文字答卷、电子版答卷（pdf格式）（包括可执行的程序）期中电子版正文必须为pdf格式，不得压缩，而其他附件材料压缩打包（包括论文的word版本）成一个文件。</w:t>
      </w:r>
    </w:p>
    <w:p>
      <w:pPr>
        <w:spacing w:line="640" w:lineRule="exact"/>
        <w:ind w:left="1199" w:leftChars="228" w:hanging="720" w:hangingChars="300"/>
        <w:rPr>
          <w:sz w:val="24"/>
        </w:rPr>
      </w:pPr>
      <w:r>
        <w:rPr>
          <w:rFonts w:hint="eastAsia"/>
          <w:sz w:val="24"/>
        </w:rPr>
        <w:t xml:space="preserve">      正文命名格式：</w:t>
      </w:r>
      <w:r>
        <w:rPr>
          <w:rFonts w:hint="eastAsia"/>
          <w:sz w:val="24"/>
          <w:lang w:eastAsia="zh-CN"/>
        </w:rPr>
        <w:t>“</w:t>
      </w:r>
      <w:r>
        <w:rPr>
          <w:rFonts w:hint="eastAsia"/>
          <w:sz w:val="24"/>
        </w:rPr>
        <w:t>题号</w:t>
      </w:r>
      <w:r>
        <w:rPr>
          <w:rFonts w:hint="eastAsia"/>
          <w:sz w:val="24"/>
          <w:lang w:val="en-US" w:eastAsia="zh-CN"/>
        </w:rPr>
        <w:t>-</w:t>
      </w:r>
      <w:r>
        <w:rPr>
          <w:rFonts w:hint="eastAsia"/>
          <w:sz w:val="24"/>
        </w:rPr>
        <w:t>队号.pdf</w:t>
      </w:r>
      <w:r>
        <w:rPr>
          <w:rFonts w:hint="eastAsia"/>
          <w:sz w:val="24"/>
          <w:lang w:eastAsia="zh-CN"/>
        </w:rPr>
        <w:t>”</w:t>
      </w:r>
      <w:r>
        <w:rPr>
          <w:rFonts w:hint="eastAsia"/>
          <w:sz w:val="24"/>
        </w:rPr>
        <w:t>，如A</w:t>
      </w:r>
      <w:r>
        <w:rPr>
          <w:rFonts w:hint="eastAsia"/>
          <w:sz w:val="24"/>
          <w:lang w:eastAsia="zh-CN"/>
        </w:rPr>
        <w:t>题</w:t>
      </w:r>
      <w:r>
        <w:rPr>
          <w:rFonts w:hint="eastAsia"/>
          <w:sz w:val="24"/>
          <w:lang w:val="en-US" w:eastAsia="zh-CN"/>
        </w:rPr>
        <w:t>-201800</w:t>
      </w:r>
      <w:r>
        <w:rPr>
          <w:rFonts w:hint="eastAsia"/>
          <w:sz w:val="24"/>
        </w:rPr>
        <w:t>.</w:t>
      </w:r>
      <w:r>
        <w:rPr>
          <w:rFonts w:hint="eastAsia"/>
          <w:sz w:val="24"/>
          <w:u w:val="single"/>
        </w:rPr>
        <w:t>pdf</w:t>
      </w:r>
    </w:p>
    <w:p>
      <w:pPr>
        <w:spacing w:line="640" w:lineRule="exact"/>
        <w:ind w:left="1199" w:leftChars="228" w:hanging="720" w:hangingChars="300"/>
        <w:rPr>
          <w:sz w:val="24"/>
        </w:rPr>
      </w:pPr>
      <w:r>
        <w:rPr>
          <w:rFonts w:hint="eastAsia"/>
          <w:sz w:val="24"/>
        </w:rPr>
        <w:t xml:space="preserve">      附件命名格式：</w:t>
      </w:r>
      <w:r>
        <w:rPr>
          <w:rFonts w:hint="eastAsia"/>
          <w:sz w:val="24"/>
          <w:lang w:val="en-US" w:eastAsia="zh-CN"/>
        </w:rPr>
        <w:t xml:space="preserve"> “</w:t>
      </w:r>
      <w:r>
        <w:rPr>
          <w:rFonts w:hint="eastAsia"/>
          <w:sz w:val="24"/>
        </w:rPr>
        <w:t>题号</w:t>
      </w:r>
      <w:r>
        <w:rPr>
          <w:rFonts w:hint="eastAsia"/>
          <w:sz w:val="24"/>
          <w:lang w:val="en-US" w:eastAsia="zh-CN"/>
        </w:rPr>
        <w:t>-</w:t>
      </w:r>
      <w:r>
        <w:rPr>
          <w:rFonts w:hint="eastAsia"/>
          <w:sz w:val="24"/>
        </w:rPr>
        <w:t>队号</w:t>
      </w:r>
      <w:r>
        <w:rPr>
          <w:rFonts w:hint="eastAsia"/>
          <w:sz w:val="24"/>
          <w:lang w:val="en-US" w:eastAsia="zh-CN"/>
        </w:rPr>
        <w:t>.</w:t>
      </w:r>
      <w:r>
        <w:rPr>
          <w:rFonts w:hint="eastAsia"/>
          <w:sz w:val="24"/>
        </w:rPr>
        <w:t>rar</w:t>
      </w:r>
      <w:r>
        <w:rPr>
          <w:rFonts w:hint="eastAsia"/>
          <w:sz w:val="24"/>
          <w:lang w:eastAsia="zh-CN"/>
        </w:rPr>
        <w:t>”</w:t>
      </w:r>
      <w:r>
        <w:rPr>
          <w:rFonts w:hint="eastAsia"/>
          <w:sz w:val="24"/>
        </w:rPr>
        <w:t>，</w:t>
      </w:r>
      <w:r>
        <w:rPr>
          <w:rFonts w:hint="eastAsia"/>
          <w:sz w:val="24"/>
          <w:lang w:eastAsia="zh-CN"/>
        </w:rPr>
        <w:t>如</w:t>
      </w:r>
      <w:r>
        <w:rPr>
          <w:rFonts w:hint="eastAsia"/>
          <w:sz w:val="24"/>
          <w:lang w:val="en-US" w:eastAsia="zh-CN"/>
        </w:rPr>
        <w:t>A题-201800.rar ；</w:t>
      </w:r>
      <w:r>
        <w:rPr>
          <w:rFonts w:hint="eastAsia"/>
          <w:sz w:val="24"/>
        </w:rPr>
        <w:t>或</w:t>
      </w:r>
      <w:r>
        <w:rPr>
          <w:rFonts w:hint="eastAsia"/>
          <w:sz w:val="24"/>
          <w:lang w:eastAsia="zh-CN"/>
        </w:rPr>
        <w:t>“</w:t>
      </w:r>
      <w:r>
        <w:rPr>
          <w:rFonts w:hint="eastAsia"/>
          <w:sz w:val="24"/>
        </w:rPr>
        <w:t>题号</w:t>
      </w:r>
      <w:r>
        <w:rPr>
          <w:rFonts w:hint="eastAsia"/>
          <w:sz w:val="24"/>
          <w:lang w:val="en-US" w:eastAsia="zh-CN"/>
        </w:rPr>
        <w:t>-</w:t>
      </w:r>
      <w:r>
        <w:rPr>
          <w:rFonts w:hint="eastAsia"/>
          <w:sz w:val="24"/>
        </w:rPr>
        <w:t>队号.zip</w:t>
      </w:r>
      <w:r>
        <w:rPr>
          <w:rFonts w:hint="eastAsia"/>
          <w:sz w:val="24"/>
          <w:lang w:eastAsia="zh-CN"/>
        </w:rPr>
        <w:t>”，如</w:t>
      </w:r>
      <w:r>
        <w:rPr>
          <w:rFonts w:hint="eastAsia"/>
          <w:sz w:val="24"/>
          <w:lang w:val="en-US" w:eastAsia="zh-CN"/>
        </w:rPr>
        <w:t>A题-201800.zip</w:t>
      </w:r>
    </w:p>
    <w:p>
      <w:pPr>
        <w:spacing w:beforeLines="0" w:afterLines="0"/>
        <w:ind w:firstLine="480" w:firstLineChars="200"/>
        <w:jc w:val="left"/>
        <w:rPr>
          <w:rFonts w:ascii="仿宋_GB2312" w:hAnsi="宋体" w:eastAsia="仿宋_GB2312"/>
          <w:sz w:val="30"/>
          <w:szCs w:val="30"/>
        </w:rPr>
      </w:pPr>
      <w:r>
        <w:rPr>
          <w:rFonts w:hint="eastAsia"/>
          <w:sz w:val="24"/>
        </w:rPr>
        <w:t>各参赛队</w:t>
      </w:r>
      <w:r>
        <w:rPr>
          <w:rFonts w:hint="eastAsia"/>
          <w:sz w:val="24"/>
          <w:lang w:eastAsia="zh-CN"/>
        </w:rPr>
        <w:t>将</w:t>
      </w:r>
      <w:r>
        <w:rPr>
          <w:rFonts w:hint="eastAsia" w:ascii="宋体" w:hAnsi="宋体"/>
          <w:sz w:val="27"/>
          <w:lang w:val="zh-CN"/>
        </w:rPr>
        <w:t>竞赛论文（纸质答卷）在5月2日上午10时前由各参赛队交到数学学院窦霁虹教授办公室(长安校区8-4-13)，并将电子版答卷（pdf格式）和支撑材料在5月2日晚上24时前发至邮箱：</w:t>
      </w:r>
      <w:r>
        <w:rPr>
          <w:rFonts w:hint="eastAsia" w:ascii="宋体" w:hAnsi="宋体"/>
          <w:color w:val="0000FF"/>
          <w:sz w:val="27"/>
          <w:u w:val="single"/>
          <w:lang w:val="zh-CN"/>
        </w:rPr>
        <w:t>xdyjsjm@163.com。</w:t>
      </w:r>
    </w:p>
    <w:p>
      <w:pPr>
        <w:spacing w:line="640" w:lineRule="exact"/>
        <w:ind w:left="1199" w:leftChars="228" w:hanging="720" w:hangingChars="300"/>
        <w:jc w:val="left"/>
        <w:rPr>
          <w:sz w:val="24"/>
        </w:rPr>
      </w:pPr>
      <w:r>
        <w:rPr>
          <w:rFonts w:hint="eastAsia"/>
          <w:sz w:val="24"/>
          <w:lang w:val="en-US" w:eastAsia="zh-CN"/>
        </w:rPr>
        <w:t>6</w:t>
      </w:r>
      <w:bookmarkStart w:id="0" w:name="_GoBack"/>
      <w:bookmarkEnd w:id="0"/>
      <w:r>
        <w:rPr>
          <w:rFonts w:hint="eastAsia"/>
          <w:sz w:val="24"/>
        </w:rPr>
        <w:t>.  竞赛期间，若有违反纪律者，则取消其竞赛资格。</w:t>
      </w:r>
    </w:p>
    <w:p>
      <w:pPr>
        <w:spacing w:line="640" w:lineRule="exact"/>
        <w:ind w:left="959" w:leftChars="228" w:hanging="480" w:hangingChars="200"/>
        <w:rPr>
          <w:sz w:val="24"/>
        </w:rPr>
      </w:pPr>
      <w:r>
        <w:rPr>
          <w:rFonts w:hint="eastAsia"/>
          <w:sz w:val="24"/>
        </w:rPr>
        <w:t xml:space="preserve">             </w:t>
      </w:r>
    </w:p>
    <w:p>
      <w:pPr>
        <w:widowControl/>
        <w:spacing w:line="640" w:lineRule="exact"/>
        <w:ind w:right="1124"/>
        <w:jc w:val="right"/>
        <w:rPr>
          <w:rFonts w:cs="宋体"/>
          <w:bCs/>
          <w:color w:val="333333"/>
          <w:kern w:val="0"/>
          <w:sz w:val="28"/>
          <w:szCs w:val="28"/>
        </w:rPr>
      </w:pPr>
      <w:r>
        <w:rPr>
          <w:rFonts w:hint="eastAsia"/>
          <w:sz w:val="24"/>
        </w:rPr>
        <w:t xml:space="preserve">                      </w:t>
      </w:r>
      <w:r>
        <w:rPr>
          <w:rFonts w:hint="eastAsia" w:cs="宋体"/>
          <w:bCs/>
          <w:color w:val="333333"/>
          <w:kern w:val="0"/>
          <w:sz w:val="28"/>
          <w:szCs w:val="28"/>
        </w:rPr>
        <w:t>西北大学</w:t>
      </w:r>
      <w:r>
        <w:rPr>
          <w:rFonts w:hint="eastAsia" w:cs="宋体"/>
          <w:bCs/>
          <w:color w:val="333333"/>
          <w:kern w:val="0"/>
          <w:sz w:val="28"/>
          <w:szCs w:val="28"/>
          <w:lang w:eastAsia="zh-CN"/>
        </w:rPr>
        <w:t>研究生</w:t>
      </w:r>
      <w:r>
        <w:rPr>
          <w:rFonts w:hint="eastAsia" w:cs="宋体"/>
          <w:bCs/>
          <w:color w:val="333333"/>
          <w:kern w:val="0"/>
          <w:sz w:val="28"/>
          <w:szCs w:val="28"/>
        </w:rPr>
        <w:t>数学建模竞赛组委会</w:t>
      </w:r>
    </w:p>
    <w:p>
      <w:pPr>
        <w:widowControl/>
        <w:spacing w:line="640" w:lineRule="exact"/>
        <w:ind w:right="1124"/>
        <w:jc w:val="center"/>
        <w:rPr>
          <w:rFonts w:cs="宋体"/>
          <w:bCs/>
          <w:color w:val="333333"/>
          <w:kern w:val="0"/>
          <w:sz w:val="28"/>
          <w:szCs w:val="28"/>
        </w:rPr>
      </w:pPr>
      <w:r>
        <w:rPr>
          <w:rFonts w:hint="eastAsia" w:cs="宋体"/>
          <w:bCs/>
          <w:color w:val="333333"/>
          <w:kern w:val="0"/>
          <w:sz w:val="28"/>
          <w:szCs w:val="28"/>
          <w:lang w:val="en-US" w:eastAsia="zh-CN"/>
        </w:rPr>
        <w:t xml:space="preserve">                 </w:t>
      </w:r>
      <w:r>
        <w:rPr>
          <w:rFonts w:hint="eastAsia" w:cs="宋体"/>
          <w:bCs/>
          <w:color w:val="333333"/>
          <w:kern w:val="0"/>
          <w:sz w:val="28"/>
          <w:szCs w:val="28"/>
        </w:rPr>
        <w:t>西北大学研究生数学建模协会</w:t>
      </w:r>
    </w:p>
    <w:p>
      <w:pPr>
        <w:widowControl/>
        <w:spacing w:line="640" w:lineRule="exact"/>
        <w:ind w:right="1124"/>
        <w:jc w:val="center"/>
        <w:rPr>
          <w:rFonts w:cs="宋体"/>
          <w:bCs/>
          <w:color w:val="333333"/>
          <w:kern w:val="0"/>
          <w:sz w:val="28"/>
          <w:szCs w:val="28"/>
          <w:lang w:val="en-US"/>
        </w:rPr>
      </w:pPr>
      <w:r>
        <w:rPr>
          <w:rFonts w:hint="eastAsia" w:cs="宋体"/>
          <w:bCs/>
          <w:color w:val="333333"/>
          <w:kern w:val="0"/>
          <w:sz w:val="28"/>
          <w:szCs w:val="28"/>
        </w:rPr>
        <w:t xml:space="preserve">                           201</w:t>
      </w:r>
      <w:r>
        <w:rPr>
          <w:rFonts w:hint="eastAsia" w:cs="宋体"/>
          <w:bCs/>
          <w:color w:val="333333"/>
          <w:kern w:val="0"/>
          <w:sz w:val="28"/>
          <w:szCs w:val="28"/>
          <w:lang w:val="en-US" w:eastAsia="zh-CN"/>
        </w:rPr>
        <w:t>8</w:t>
      </w:r>
      <w:r>
        <w:rPr>
          <w:rFonts w:hint="eastAsia" w:cs="宋体"/>
          <w:bCs/>
          <w:color w:val="333333"/>
          <w:kern w:val="0"/>
          <w:sz w:val="28"/>
          <w:szCs w:val="28"/>
        </w:rPr>
        <w:t>-</w:t>
      </w:r>
      <w:r>
        <w:rPr>
          <w:rFonts w:hint="eastAsia" w:cs="宋体"/>
          <w:bCs/>
          <w:color w:val="333333"/>
          <w:kern w:val="0"/>
          <w:sz w:val="28"/>
          <w:szCs w:val="28"/>
          <w:lang w:val="en-US" w:eastAsia="zh-CN"/>
        </w:rPr>
        <w:t>04</w:t>
      </w:r>
      <w:r>
        <w:rPr>
          <w:rFonts w:hint="eastAsia" w:cs="宋体"/>
          <w:bCs/>
          <w:color w:val="333333"/>
          <w:kern w:val="0"/>
          <w:sz w:val="28"/>
          <w:szCs w:val="28"/>
        </w:rPr>
        <w:t>-</w:t>
      </w:r>
      <w:r>
        <w:rPr>
          <w:rFonts w:hint="eastAsia" w:cs="宋体"/>
          <w:bCs/>
          <w:color w:val="333333"/>
          <w:kern w:val="0"/>
          <w:sz w:val="28"/>
          <w:szCs w:val="28"/>
          <w:lang w:val="en-US" w:eastAsia="zh-CN"/>
        </w:rPr>
        <w:t>25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